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ОГОЛОШЕННЯ</w:t>
      </w:r>
    </w:p>
    <w:p w:rsidR="00000000" w:rsidDel="00000000" w:rsidP="00000000" w:rsidRDefault="00000000" w:rsidRPr="00000000" w14:paraId="00000004">
      <w:pPr>
        <w:spacing w:after="280" w:before="280" w:line="276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про проведення конкурсних торгів (тендер)</w:t>
        <w:br w:type="textWrapping"/>
        <w:t xml:space="preserve"> (далі – «Оголошення»)</w:t>
      </w:r>
    </w:p>
    <w:p w:rsidR="00000000" w:rsidDel="00000000" w:rsidP="00000000" w:rsidRDefault="00000000" w:rsidRPr="00000000" w14:paraId="00000005">
      <w:pPr>
        <w:spacing w:after="280" w:before="28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на надання послуги із закупівлі та постачання техніки  для мультимедійної студії на базі  Державної установи «Центр громадського здоров’я Міністерства охорони здоров’я України»</w:t>
      </w:r>
    </w:p>
    <w:p w:rsidR="00000000" w:rsidDel="00000000" w:rsidP="00000000" w:rsidRDefault="00000000" w:rsidRPr="00000000" w14:paraId="00000006">
      <w:pPr>
        <w:spacing w:after="280" w:before="28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12 червня 2026 р.</w:t>
      </w:r>
    </w:p>
    <w:p w:rsidR="00000000" w:rsidDel="00000000" w:rsidP="00000000" w:rsidRDefault="00000000" w:rsidRPr="00000000" w14:paraId="00000008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Всеукраїнська благодійна організація «КОНВІКТУС УКРАЇНА» (далі – «Організатор») оголошує конкурсні торги (тендер)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закупівлю послуги із закупівлі та постачання техніки для мультимедійної студії.</w:t>
      </w:r>
    </w:p>
    <w:p w:rsidR="00000000" w:rsidDel="00000000" w:rsidP="00000000" w:rsidRDefault="00000000" w:rsidRPr="00000000" w14:paraId="00000009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Всеукраїнська благодійна організація «КОНВІКТУС УКРАЇНА» - неурядова організація, що здійснює діяльність в Україні з 2006 року та є частиною міжнародної мережі Convictus, яка працює у Швеції, Естонії та Україні.</w:t>
      </w:r>
    </w:p>
    <w:p w:rsidR="00000000" w:rsidDel="00000000" w:rsidP="00000000" w:rsidRDefault="00000000" w:rsidRPr="00000000" w14:paraId="0000000A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Організація має понад 18 років досвіду реалізації програм у сфері громадського здоров’я, гуманітарної допомоги та соціальної підтримки у співпраці з державними установами, національними та міжнародними партнерами.</w:t>
      </w:r>
    </w:p>
    <w:p w:rsidR="00000000" w:rsidDel="00000000" w:rsidP="00000000" w:rsidRDefault="00000000" w:rsidRPr="00000000" w14:paraId="0000000B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Джерело фінансування закупівлі</w:t>
      </w:r>
    </w:p>
    <w:p w:rsidR="00000000" w:rsidDel="00000000" w:rsidP="00000000" w:rsidRDefault="00000000" w:rsidRPr="00000000" w14:paraId="0000000C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Тендер проводиться в межах проєкту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2"/>
          <w:szCs w:val="22"/>
          <w:rtl w:val="0"/>
        </w:rPr>
        <w:t xml:space="preserve">Support TB Control Efforts in Ukraine за фінансової підтримки PATH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Порядок розрахунків</w:t>
      </w:r>
    </w:p>
    <w:p w:rsidR="00000000" w:rsidDel="00000000" w:rsidP="00000000" w:rsidRDefault="00000000" w:rsidRPr="00000000" w14:paraId="0000000E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Розрахунки здійснюються у безготівковій формі. Базові умови оплати передбачають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50% передоплати та 50% постоплати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якщо інші умови не були додатково погоджені та затверджені з переможцем процедури закупівлі.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Локація для доставки товару: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м. Київ, вул. Ярославська 41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(адреса доставки товару може бути змінена за попереднім погодженням)</w:t>
      </w:r>
    </w:p>
    <w:p w:rsidR="00000000" w:rsidDel="00000000" w:rsidP="00000000" w:rsidRDefault="00000000" w:rsidRPr="00000000" w14:paraId="00000010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Термін постачання техніки: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не пізніше 15 липня 2026 року (зазначений термін може бути скоригований за погодженням сторін)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Бюджет закупівлі: орієнтовно 600 000 грн.</w:t>
      </w:r>
    </w:p>
    <w:p w:rsidR="00000000" w:rsidDel="00000000" w:rsidP="00000000" w:rsidRDefault="00000000" w:rsidRPr="00000000" w14:paraId="00000012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Формування ціни та ПДВ</w:t>
      </w:r>
    </w:p>
    <w:p w:rsidR="00000000" w:rsidDel="00000000" w:rsidP="00000000" w:rsidRDefault="00000000" w:rsidRPr="00000000" w14:paraId="00000013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У зв’язку з тим, що закупівля послуг здійснюється в межах проєкту за фінансової підтримки PATH:</w:t>
      </w:r>
    </w:p>
    <w:p w:rsidR="00000000" w:rsidDel="00000000" w:rsidP="00000000" w:rsidRDefault="00000000" w:rsidRPr="00000000" w14:paraId="00000014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Учасник має подати цінову пропозицію із зазначенням, чи включає вартість ПДВ, та бути готовим до постачання товарів/послуг без ПДВ. З урахуванням вимог донора та особливостей фінансування проєкту,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перевага надаватиметься пропозиціям без ПДВ. </w:t>
      </w:r>
    </w:p>
    <w:p w:rsidR="00000000" w:rsidDel="00000000" w:rsidP="00000000" w:rsidRDefault="00000000" w:rsidRPr="00000000" w14:paraId="00000015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У разі перемоги в тендері та укладення договору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підвищення цін на товари допускається не більше ніж на 5%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від ціни, зазначеної у тендерній пропозиції, протягом строку дії договору. У разі необхідності підвищення цін понад 5% Постачальник зобов’язаний не пізніше ніж за 1 місяць до планованої дати підвищення надати Організатору письмове обґрунтування з підтвердженням ринкових коливань (інформація щонайменше від трьох незалежних постачальників аналогічних товарів).</w:t>
      </w:r>
    </w:p>
    <w:p w:rsidR="00000000" w:rsidDel="00000000" w:rsidP="00000000" w:rsidRDefault="00000000" w:rsidRPr="00000000" w14:paraId="00000016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У разі ненадання або неприйнятності такого обґрунтування Організатор має право розірвати договір у встановленому порядку без застосування штрафних санкцій.</w:t>
      </w:r>
    </w:p>
    <w:p w:rsidR="00000000" w:rsidDel="00000000" w:rsidP="00000000" w:rsidRDefault="00000000" w:rsidRPr="00000000" w14:paraId="00000017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Кваліфікаційні вимоги до Учасника</w:t>
      </w:r>
    </w:p>
    <w:p w:rsidR="00000000" w:rsidDel="00000000" w:rsidP="00000000" w:rsidRDefault="00000000" w:rsidRPr="00000000" w14:paraId="00000018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Учасник повинен відповідати таким кваліфікаційним вимогам: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280" w:line="276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Право на здійснення господарської діяльності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Наявність державної реєстрації юридичної особи або фізичної особи–підприємця відповідно до законодавства України, що підтверджується витягом/випискою з Єдиного державного реєстру.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Досвід постачання аналогічних товарів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Наявність підтвердженого досвіду постачання аналогічних товарів (техніки) протягом останніх 3 (трьох) календарних років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Досвід підтверджується копіями договорів, рахунків, актів, або рекомендаційними листами.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Спроможність виконання договору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Наявність матеріально-технічної бази та організаційної спроможності виконати зобов’язання за договором, що підтверджується довідкою у довільній формі.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Ідентифікація постачальника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Наявність вебресурсу для ідентифікації діяльності Учасника (офіційний вебсайт та/або офіційна сторінка в соціальних мережах за наявності).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80" w:line="276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Електронний документообіг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Готовність Учасника використовувати електронний документообіг, зокрема через сервіс ВЧАСНО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або еквівалентний сервіс, що відповідає вимогам законодавства України.</w:t>
      </w:r>
    </w:p>
    <w:p w:rsidR="00000000" w:rsidDel="00000000" w:rsidP="00000000" w:rsidRDefault="00000000" w:rsidRPr="00000000" w14:paraId="0000001E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Технічні вимоги до предмета закупівлі:</w:t>
      </w:r>
    </w:p>
    <w:sdt>
      <w:sdtPr>
        <w:lock w:val="contentLocked"/>
        <w:id w:val="-225124583"/>
        <w:tag w:val="goog_rdk_0"/>
      </w:sdtPr>
      <w:sdtContent>
        <w:tbl>
          <w:tblPr>
            <w:tblStyle w:val="Table1"/>
            <w:tblW w:w="9405.0" w:type="dxa"/>
            <w:jc w:val="left"/>
            <w:tblInd w:w="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0"/>
            <w:gridCol w:w="2835"/>
            <w:gridCol w:w="5205"/>
            <w:gridCol w:w="915"/>
            <w:tblGridChange w:id="0">
              <w:tblGrid>
                <w:gridCol w:w="450"/>
                <w:gridCol w:w="2835"/>
                <w:gridCol w:w="5205"/>
                <w:gridCol w:w="9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Найменування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Технічні характеристики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Кількість (шт.)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Бездзеркальний фотоапарат Sony Alpha A7 III body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 або еквівалент з аналогічними або кращими технічними характеристиками.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 камери: бездзеркальна цифрова фотокамера</w:t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Матриця: Full Frame CMOS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Роздільна здатність: не менше 24,2 Мп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Відеозйомка: 4K UHD</w:t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Система автофокусування: не менше 693 точок фазового автофокусу</w:t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Серійна зйомка: не менше 10 кадрів/сек</w:t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Стабілізація зображення: 5-осьова вбудована</w:t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Дисплей: поворотний або нахильний LCD</w:t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Бездротові інтерфейси: Wi-Fi, Bluetooth</w:t>
                </w:r>
              </w:p>
              <w:p w:rsidR="00000000" w:rsidDel="00000000" w:rsidP="00000000" w:rsidRDefault="00000000" w:rsidRPr="00000000" w14:paraId="0000002E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Підтримка карт пам’яті: SD/SDHC/SDXC, не менше 2 слотів</w:t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Інтерфейси: HDMI, USB</w:t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Комплектація: body (без об’єктива)</w:t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Гарантія: не менше 12 місяців</w:t>
                </w:r>
              </w:p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Ширококутний об’єктив Sony SEL 1635 GM 16-35 mm f/2,8 GM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або еквівалент з аналогічними або кращими технічними характеристиками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 об’єктива: ширококутний зум-об’єктив</w:t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Байонет: Sony E-mount (FE)</w:t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Формат: Full Frame</w:t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Фокусна відстань: 16–35 мм</w:t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Максимальна діафрагма: F/2.8 (постійна)</w:t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Автофокус: наявний</w:t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Мінімальна дистанція фокусування: не більше 0,28 м</w:t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Діаметр фільтра: 82 мм</w:t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Захист: пилo- та вологозахищений корпус</w:t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Комплектація: об’єктив, бленда, передня та задня кришки</w:t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Гарантія: не менше 12 місяців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Універсальний об’єктив Sony SEL2470GM 24-70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або еквівалент з аналогічними або кращими технічними характеристиками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 об’єктива: стандартний зум-об’єктив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Байонет: Sony E-mount (FE)</w:t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Формат: Full Frame</w:t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Фокусна відстань: 24–70 мм</w:t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Максимальна діафрагма: F/2.8 (постійна)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Автофокус: наявний</w:t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Мінімальна дистанція фокусування: не більше 0,38 м</w:t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Діаметр фільтра: 82 мм</w:t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Захист: пилo- та вологозахищений корпус</w:t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Комплектація: об’єктив, бленда, передня та задня кришки</w:t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Гарантія: не менше 12 місяців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Підлоговий штатив E-Image EG03A2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або еквівалент з аналогічними або кращими технічними характеристиками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Тип: професійний відео штатив 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Матеріал: алюміній</w:t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Максимальне навантаження: не менше 5 кг</w:t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 голови: fluid head з регулюванням нахилу</w:t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Чаша: 75 мм</w:t>
                </w:r>
              </w:p>
              <w:p w:rsidR="00000000" w:rsidDel="00000000" w:rsidP="00000000" w:rsidRDefault="00000000" w:rsidRPr="00000000" w14:paraId="00000057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Конструкція: 2-секційний штатив</w:t>
                </w:r>
              </w:p>
              <w:p w:rsidR="00000000" w:rsidDel="00000000" w:rsidP="00000000" w:rsidRDefault="00000000" w:rsidRPr="00000000" w14:paraId="00000058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Робоча висота: не менше 168 см</w:t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Мінімальна висота: не більше 75 см</w:t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 фіксації: mono-lock</w:t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Наявність mid-level spreader</w:t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Швидкознімна площадка: наявна</w:t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Комплектація: штатив, fluid head, чохол для транспортування</w:t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Гарантія: не менше 12 місяців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Неттоп Apple Mac Studio 2025 M4 Max (MU963)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або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еквівалент з аналогічними або кращими технічними характеристиками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 пристрою: настільний комп’ютер (desktop workstation)</w:t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Процесор: Apple M4 Max</w:t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CPU: не менше 14 ядер</w:t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GPU: не менше 32 ядер</w:t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Neural Engine: 16-ядерний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Оперативна пам’ять: не менше 36 GB unified memory</w:t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Накопичувач: SSD не менше 512 GB</w:t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Бездротові інтерфейси: Wi-Fi 6E, Bluetooth</w:t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Мережевий інтерфейс: Ethernet 10 Gb</w:t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Порти: Thunderbolt 5, USB-A, HDMI, SDXC card slot, audio jack</w:t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Підтримка підключення декількох зовнішніх дисплеїв</w:t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Операційна система: macOS</w:t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Колір: Silver</w:t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Гарантія: не менше 12 місяців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highlight w:val="white"/>
                    <w:rtl w:val="0"/>
                  </w:rPr>
                  <w:t xml:space="preserve">YoloBox Pro це портативний відеомікшер з функцією стрімінгу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або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еквівалент з аналогічними або кращими технічними характеристиками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 пристрою: портативна all-in-one система для стрімінгу та відеопродакшену</w:t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Функції: енкодер, відеомікшер, монітор, рекордер</w:t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Дисплей: сенсорний LCD екран не менше 8"</w:t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Відеовходи: не менше 3 HDMI</w:t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Відеовиходи: HDMI out</w:t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Підтримка відео: Full HD до 1080p60</w:t>
                </w:r>
              </w:p>
              <w:p w:rsidR="00000000" w:rsidDel="00000000" w:rsidP="00000000" w:rsidRDefault="00000000" w:rsidRPr="00000000" w14:paraId="00000079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Підтримка одночасного стрімінгу на декілька платформ</w:t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Підключення до мережі: Wi-Fi, Ethernet, 4G LTE</w:t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Аудіовходи: Mic in / Line in</w:t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Підтримка запису на SD-карту</w:t>
                </w:r>
              </w:p>
              <w:p w:rsidR="00000000" w:rsidDel="00000000" w:rsidP="00000000" w:rsidRDefault="00000000" w:rsidRPr="00000000" w14:paraId="0000007D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Вбудований акумулятор: не менше 10 000 mAh</w:t>
                </w:r>
              </w:p>
              <w:p w:rsidR="00000000" w:rsidDel="00000000" w:rsidP="00000000" w:rsidRDefault="00000000" w:rsidRPr="00000000" w14:paraId="0000007E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Підтримка графічних оверлеїв, chroma key та picture-in-picture</w:t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Комплектація: пристрій, блок живлення, кабелі</w:t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after="0" w:before="0" w:line="276" w:lineRule="auto"/>
                  <w:ind w:left="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Гарантія: не менше 12 місяців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highlight w:val="white"/>
                    <w:rtl w:val="0"/>
                  </w:rPr>
                  <w:t xml:space="preserve">Жорсткий диск LaCie Rugged USB-C 5 Tb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або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еквівалент з аналогічними або кращими технічними характеристиками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Тип: зовнішній HDD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Об’єм: 5 TB</w:t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Інтерфейс: USB-C / USB 3.1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Швидкість передачі даних: до 130 MB/s</w:t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Захист: ударо-, волого- та пилозахищений корпус</w:t>
                </w:r>
              </w:p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Сумісність: Windows / macOS</w:t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Комплектація: диск, кабель USB-C</w:t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Гарантія: не менше 12 місяців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highlight w:val="white"/>
                    <w:rtl w:val="0"/>
                  </w:rPr>
                  <w:t xml:space="preserve">Стабілізатор напруги Укртехнологія NORMA Exclusive 5000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highlight w:val="white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або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еквівалент з аналогічними або кращими технічними характеристиками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Тип: однофазний стабілізатор напруги</w:t>
                </w:r>
              </w:p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 стабілізації: симісторний (тиристорний)</w:t>
                </w:r>
              </w:p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Потужність: не менше 5 кВА</w:t>
                </w:r>
              </w:p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Робочий діапазон вхідної напруги: 120–275 В</w:t>
                </w:r>
              </w:p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Точність стабілізації: ±5–6%</w:t>
                </w:r>
              </w:p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Кількість ступенів стабілізації: не менше 12</w:t>
                </w:r>
              </w:p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Час реакції: не більше 20 мс</w:t>
                </w:r>
              </w:p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Захист: від перенапруги, короткого замикання, перевантаження та перегріву</w:t>
                </w:r>
              </w:p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 монтажу: настінний/підлоговий</w:t>
                </w:r>
              </w:p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Охолодження: примусове</w:t>
                </w:r>
              </w:p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Наявність режиму bypass (транзит)</w:t>
                </w:r>
              </w:p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Гарантія: не менше 12 місяців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pStyle w:val="Heading1"/>
                  <w:keepNext w:val="0"/>
                  <w:keepLines w:val="0"/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hd w:fill="ffffff" w:val="clear"/>
                  <w:spacing w:after="0" w:before="0" w:lineRule="auto"/>
                  <w:rPr>
                    <w:rFonts w:ascii="Times New Roman" w:cs="Times New Roman" w:eastAsia="Times New Roman" w:hAnsi="Times New Roman"/>
                    <w:color w:val="221f1f"/>
                    <w:sz w:val="22"/>
                    <w:szCs w:val="22"/>
                    <w:highlight w:val="white"/>
                  </w:rPr>
                </w:pPr>
                <w:bookmarkStart w:colFirst="0" w:colLast="0" w:name="_heading=h.f3w0qfnevix5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21f1f"/>
                    <w:sz w:val="22"/>
                    <w:szCs w:val="22"/>
                    <w:highlight w:val="white"/>
                    <w:rtl w:val="0"/>
                  </w:rPr>
                  <w:t xml:space="preserve">Мережевий адаптер живлення AC-FZ100 для Sony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21f1f"/>
                    <w:sz w:val="22"/>
                    <w:szCs w:val="22"/>
                    <w:highlight w:val="white"/>
                    <w:rtl w:val="0"/>
                  </w:rPr>
                  <w:t xml:space="preserve"> (A7 III, A7R III, A9) живлення камери від мережі </w:t>
                </w:r>
              </w:p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 пристрою: адаптер живлення для фотоапарата</w:t>
                </w:r>
              </w:p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Сумісність: Sony NP-FZ100 / Sony A7 III, A7R III, A7 IV, A9, A6600 або еквівалент</w:t>
                </w:r>
              </w:p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Тип живлення: USB</w:t>
                </w:r>
              </w:p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Вихідна напруга: 7.4–8.4 V</w:t>
                </w:r>
              </w:p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Підтримка живлення від Power Bank / USB адаптера</w:t>
                </w:r>
              </w:p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Захист: від короткого замикання та перевантаження</w:t>
                </w:r>
              </w:p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Комплектація: USB-адаптер, dummy battery NP-FZ100</w:t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Гарантія: не менше 12 місяців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</w:t>
                </w:r>
              </w:p>
            </w:tc>
          </w:tr>
        </w:tbl>
      </w:sdtContent>
    </w:sdt>
    <w:p w:rsidR="00000000" w:rsidDel="00000000" w:rsidP="00000000" w:rsidRDefault="00000000" w:rsidRPr="00000000" w14:paraId="000000A8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Склад тендерної пропозиції</w:t>
      </w:r>
    </w:p>
    <w:p w:rsidR="00000000" w:rsidDel="00000000" w:rsidP="00000000" w:rsidRDefault="00000000" w:rsidRPr="00000000" w14:paraId="000000AA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Тендерна пропозиція Учасника подається в електронному вигляді та повинна містити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наступні обов’язкові документи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pacing w:after="0" w:afterAutospacing="0" w:before="280" w:line="276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Тендерна (цінова/комерційна) пропозиція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Оформлена у формі Додатку 1 до цього Оголошення, що містить найменування товару, основні технічні характеристики а також вартість послуг (з ПДВ чи без ПДВ).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spacing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У зв’язку з воєнним станом, перебоями у логістичних ланцюгах, нестабільністю постачання техніки та коливанням залишків товарів на складах постачальники можуть стикатися із затримками доставки або відсутністю окремих позицій у повному обсязі на момент закупівлі. Враховуючи це, Постачальник може подати пропозицію як на весь перелік товарів, зазначених в оголошенні, так і на окремі позиції, які він спроможний поставити за прийнятною ціною, у визначені строки та за вказаною адресою доставки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Загальна інформація про Учасника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Заповнена форма Додатку 2 до цього Оголошення.</w:t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Документи, що підтверджують відповідність кваліфікаційним вимогам.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Зокрема: документи про державну реєстрацію Учасника; підтвердження досвіду постачання аналогічних товарів за останні 3 календарні роки; довідка про матеріально-технічну базу та організаційну спроможність виконати договір.</w:t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Підтвердження повноважень підписанта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Документи, що підтверджують право особи підписувати тендерну пропозицію (наказ про призначення керівника або довіреність — для юридичних осіб).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spacing w:after="280" w:line="276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Інші документи (за бажанням Учасника)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Рекомендаційні листи, презентаційні матеріали або інші документи, які Учасник вважає за доцільне надати для кращого розуміння своєї пропозиції (необов’язково).</w:t>
      </w:r>
    </w:p>
    <w:p w:rsidR="00000000" w:rsidDel="00000000" w:rsidP="00000000" w:rsidRDefault="00000000" w:rsidRPr="00000000" w14:paraId="000000B1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Критерії оцінки</w:t>
      </w:r>
    </w:p>
    <w:p w:rsidR="00000000" w:rsidDel="00000000" w:rsidP="00000000" w:rsidRDefault="00000000" w:rsidRPr="00000000" w14:paraId="000000B2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Оцінці підлягають тендерні пропозиції, що відповідають усім вимогам цього Оголошення. Переможець визначається за результатами порівняння цінових пропозицій та відповідності технічним і кваліфікаційним вимогам. Організатор має право запитувати уточнення (clarifications), які не змінюють суті поданої пропозиції.</w:t>
      </w:r>
    </w:p>
    <w:p w:rsidR="00000000" w:rsidDel="00000000" w:rsidP="00000000" w:rsidRDefault="00000000" w:rsidRPr="00000000" w14:paraId="000000B3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За рівних умов перевага може надаватися пропозиції з кращими умовами надання послуг та ціною.</w:t>
      </w:r>
    </w:p>
    <w:p w:rsidR="00000000" w:rsidDel="00000000" w:rsidP="00000000" w:rsidRDefault="00000000" w:rsidRPr="00000000" w14:paraId="000000B4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Антикорупційні та загальні умови</w:t>
      </w:r>
    </w:p>
    <w:p w:rsidR="00000000" w:rsidDel="00000000" w:rsidP="00000000" w:rsidRDefault="00000000" w:rsidRPr="00000000" w14:paraId="000000B5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Участь пов’язаних осіб або змова учасників забороняється.</w:t>
        <w:br w:type="textWrapping"/>
        <w:t xml:space="preserve"> Організатор залишає за собою право прийняти або відхилити будь-яку пропозицію відповідно до умов цього Оголошення, принципів добросовісної конкуренції, прозорості та ефективного використання коштів (value for money), а також внутрішніх політик і процедур Організації.</w:t>
      </w:r>
    </w:p>
    <w:p w:rsidR="00000000" w:rsidDel="00000000" w:rsidP="00000000" w:rsidRDefault="00000000" w:rsidRPr="00000000" w14:paraId="000000B6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Запитання та звернення</w:t>
      </w:r>
    </w:p>
    <w:p w:rsidR="00000000" w:rsidDel="00000000" w:rsidP="00000000" w:rsidRDefault="00000000" w:rsidRPr="00000000" w14:paraId="000000B7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Усі запитання, звернення та запити щодо умов цього тендеру приймаються виключно в письмовій формі шляхом надсилання електронного листа на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67886"/>
          <w:sz w:val="22"/>
          <w:szCs w:val="22"/>
          <w:rtl w:val="0"/>
        </w:rPr>
        <w:t xml:space="preserve">zakupivli@convictus.org.ua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З метою забезпечення рівного доступу всіх потенційних учасників до інформації Організатор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не надає роз’яснень усно або іншими каналами комунікації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Відповіді на запитання надаються у письмовій формі.</w:t>
      </w:r>
    </w:p>
    <w:p w:rsidR="00000000" w:rsidDel="00000000" w:rsidP="00000000" w:rsidRDefault="00000000" w:rsidRPr="00000000" w14:paraId="000000B8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Дотримання політик Організатора</w:t>
      </w:r>
    </w:p>
    <w:p w:rsidR="00000000" w:rsidDel="00000000" w:rsidP="00000000" w:rsidRDefault="00000000" w:rsidRPr="00000000" w14:paraId="000000B9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Поданням тендерної пропозиції Учасник підтверджує свою згоду з тим, що у разі визначення його переможцем закупівлі він буде зобов’язаний дотримуватися внутрішніх політик і процедур Організатора, зокрема політик у сфері етики та доброчесності, запобігання корупції, конфлікту інтересів, а також політики запобігання сексуальній експлуатації та насильству (PSEA/СЄН).</w:t>
      </w:r>
    </w:p>
    <w:p w:rsidR="00000000" w:rsidDel="00000000" w:rsidP="00000000" w:rsidRDefault="00000000" w:rsidRPr="00000000" w14:paraId="000000BA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Детальні положення відповідних політик та конкретні зобов’язання Постачальника визначаються у договорі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який укладається з переможцем тендеру.</w:t>
      </w:r>
    </w:p>
    <w:p w:rsidR="00000000" w:rsidDel="00000000" w:rsidP="00000000" w:rsidRDefault="00000000" w:rsidRPr="00000000" w14:paraId="000000BB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Право на скасування тендеру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Організатор залишає за собою право скасувати або анулювати тендер повністю або частково на будь-якому етапі його проведення у разі зміни потреб, умов фінансування, обставин непереборної сили або з інших обґрунтованих причин.</w:t>
      </w:r>
    </w:p>
    <w:p w:rsidR="00000000" w:rsidDel="00000000" w:rsidP="00000000" w:rsidRDefault="00000000" w:rsidRPr="00000000" w14:paraId="000000BC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У такому випадку Організатор не несе відповідальності за будь-які витрати, понесені Учасниками у зв’язку з підготовкою та поданням тендерних пропозицій, за умови дотримання принципів прозорості та добросовісності.</w:t>
      </w:r>
    </w:p>
    <w:p w:rsidR="00000000" w:rsidDel="00000000" w:rsidP="00000000" w:rsidRDefault="00000000" w:rsidRPr="00000000" w14:paraId="000000BD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Кінцевий термін подання пропозицій</w:t>
      </w:r>
    </w:p>
    <w:p w:rsidR="00000000" w:rsidDel="00000000" w:rsidP="00000000" w:rsidRDefault="00000000" w:rsidRPr="00000000" w14:paraId="000000BE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26 червня 2026 року, до 18:00 за київським часом.</w:t>
      </w:r>
    </w:p>
    <w:p w:rsidR="00000000" w:rsidDel="00000000" w:rsidP="00000000" w:rsidRDefault="00000000" w:rsidRPr="00000000" w14:paraId="000000BF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Тендерні пропозиції подаються в електронному вигляді (PDF/скан) на адресу: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📧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zakupivli@convictus.org.ua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Тема листа: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(тендер) на закупівлю послуг із закупівлі та постачання техніки для мультимедійної студії</w:t>
      </w:r>
    </w:p>
    <w:p w:rsidR="00000000" w:rsidDel="00000000" w:rsidP="00000000" w:rsidRDefault="00000000" w:rsidRPr="00000000" w14:paraId="000000C0">
      <w:pPr>
        <w:spacing w:after="200" w:lineRule="auto"/>
        <w:jc w:val="both"/>
        <w:rPr>
          <w:rFonts w:ascii="Times New Roman" w:cs="Times New Roman" w:eastAsia="Times New Roman" w:hAnsi="Times New Roman"/>
          <w:color w:val="4f81b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00" w:lineRule="auto"/>
        <w:jc w:val="right"/>
        <w:rPr>
          <w:rFonts w:ascii="Times New Roman" w:cs="Times New Roman" w:eastAsia="Times New Roman" w:hAnsi="Times New Roman"/>
          <w:b w:val="1"/>
          <w:bCs w:val="1"/>
          <w:color w:val="4f81b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Додаток 1 до Тендерної пропозиції</w:t>
      </w:r>
    </w:p>
    <w:p w:rsidR="00000000" w:rsidDel="00000000" w:rsidP="00000000" w:rsidRDefault="00000000" w:rsidRPr="00000000" w14:paraId="000000C3">
      <w:pPr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44016337"/>
        <w:tag w:val="goog_rdk_1"/>
      </w:sdtPr>
      <w:sdtContent>
        <w:tbl>
          <w:tblPr>
            <w:tblStyle w:val="Table2"/>
            <w:tblW w:w="10275.0" w:type="dxa"/>
            <w:jc w:val="left"/>
            <w:tblInd w:w="-60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0"/>
            <w:gridCol w:w="1695"/>
            <w:gridCol w:w="2730"/>
            <w:gridCol w:w="1590"/>
            <w:gridCol w:w="1590"/>
            <w:gridCol w:w="2190"/>
            <w:tblGridChange w:id="0">
              <w:tblGrid>
                <w:gridCol w:w="480"/>
                <w:gridCol w:w="1695"/>
                <w:gridCol w:w="2730"/>
                <w:gridCol w:w="1590"/>
                <w:gridCol w:w="1590"/>
                <w:gridCol w:w="21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Найменування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Технічні характеристики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Кількість (одиниць)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Ціна за одиницю (з ПДВ чи без ПДВ)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Загальна вартість (з ПДВ чи без ПДВ)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widowControl w:val="0"/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3">
      <w:p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76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Умови організації доставки замовлення</w:t>
      </w:r>
    </w:p>
    <w:p w:rsidR="00000000" w:rsidDel="00000000" w:rsidP="00000000" w:rsidRDefault="00000000" w:rsidRPr="00000000" w14:paraId="00000107">
      <w:pPr>
        <w:spacing w:line="276" w:lineRule="auto"/>
        <w:ind w:right="10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tbl>
      <w:tblPr>
        <w:tblStyle w:val="Table3"/>
        <w:tblW w:w="10095.0" w:type="dxa"/>
        <w:jc w:val="left"/>
        <w:tblInd w:w="-4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"/>
        <w:gridCol w:w="6555"/>
        <w:gridCol w:w="3120"/>
        <w:tblGridChange w:id="0">
          <w:tblGrid>
            <w:gridCol w:w="420"/>
            <w:gridCol w:w="6555"/>
            <w:gridCol w:w="31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Найменування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Коментарі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Спосіб доставки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Вартість доставки замовлення, грн  (вказати орієнтовну вартість, або тарифи постачальника відправок)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Швидкість доставки замовлення, днів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line="276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Оплата доставки замовлення за рахунок (вказати – постачальника чи замовника)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7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18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Дата: ________________ 202__ р.</w:t>
      </w:r>
    </w:p>
    <w:p w:rsidR="00000000" w:rsidDel="00000000" w:rsidP="00000000" w:rsidRDefault="00000000" w:rsidRPr="00000000" w14:paraId="00000119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1A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                                    </w:t>
        <w:tab/>
      </w:r>
    </w:p>
    <w:p w:rsidR="00000000" w:rsidDel="00000000" w:rsidP="00000000" w:rsidRDefault="00000000" w:rsidRPr="00000000" w14:paraId="0000011B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[підпис]                                                      </w:t>
        <w:tab/>
        <w:t xml:space="preserve">[що виступає у якості]</w:t>
      </w:r>
    </w:p>
    <w:p w:rsidR="00000000" w:rsidDel="00000000" w:rsidP="00000000" w:rsidRDefault="00000000" w:rsidRPr="00000000" w14:paraId="0000011C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1D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Що має належні повноваження на підписання Заявки від імені та за дорученням _____________________________________________________________</w:t>
      </w:r>
    </w:p>
    <w:p w:rsidR="00000000" w:rsidDel="00000000" w:rsidP="00000000" w:rsidRDefault="00000000" w:rsidRPr="00000000" w14:paraId="0000011E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20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Додаток 2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до Тендерної пропозиції</w:t>
      </w:r>
    </w:p>
    <w:p w:rsidR="00000000" w:rsidDel="00000000" w:rsidP="00000000" w:rsidRDefault="00000000" w:rsidRPr="00000000" w14:paraId="00000121">
      <w:pPr>
        <w:spacing w:after="6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Загальна інформація</w:t>
      </w:r>
    </w:p>
    <w:p w:rsidR="00000000" w:rsidDel="00000000" w:rsidP="00000000" w:rsidRDefault="00000000" w:rsidRPr="00000000" w14:paraId="00000122">
      <w:pPr>
        <w:spacing w:line="276" w:lineRule="auto"/>
        <w:ind w:firstLine="54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23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Будь ласка, заповніть таблицю нижче</w:t>
      </w:r>
    </w:p>
    <w:p w:rsidR="00000000" w:rsidDel="00000000" w:rsidP="00000000" w:rsidRDefault="00000000" w:rsidRPr="00000000" w14:paraId="00000124">
      <w:pPr>
        <w:spacing w:line="276" w:lineRule="auto"/>
        <w:ind w:firstLine="54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tbl>
      <w:tblPr>
        <w:tblStyle w:val="Table4"/>
        <w:tblW w:w="95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0"/>
        <w:gridCol w:w="5010"/>
        <w:gridCol w:w="3660"/>
        <w:tblGridChange w:id="0">
          <w:tblGrid>
            <w:gridCol w:w="840"/>
            <w:gridCol w:w="5010"/>
            <w:gridCol w:w="366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Повна назва учасника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Юридична адреса учасника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Фактична адреса учасника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Електронна пошта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Керівник компанії: посада, ПІБ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Контактний номер телефону керівника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Контактна особа з питань подання Заявки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Номер телефону контактної особи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Наявні технічні можливості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Кількість персоналу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Банківські реквізити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Вебресурс (сайт, маркет – плейс учасника)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Наявний досвід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Матеріально-технічна база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Електронний документообіг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Підтвердження доставки товарів до 15 липня 2026 року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Підтвердження доставки товару за вказаною в Оголошенні адресою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line="276" w:lineRule="auto"/>
              <w:ind w:left="28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59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5A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Дата: ________________ 202__ р.</w:t>
      </w:r>
    </w:p>
    <w:p w:rsidR="00000000" w:rsidDel="00000000" w:rsidP="00000000" w:rsidRDefault="00000000" w:rsidRPr="00000000" w14:paraId="0000015B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5C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5D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                                    </w:t>
        <w:tab/>
      </w:r>
    </w:p>
    <w:p w:rsidR="00000000" w:rsidDel="00000000" w:rsidP="00000000" w:rsidRDefault="00000000" w:rsidRPr="00000000" w14:paraId="0000015E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[підпис]                                                       </w:t>
        <w:tab/>
        <w:t xml:space="preserve">[що виступає у якості]</w:t>
      </w:r>
    </w:p>
    <w:p w:rsidR="00000000" w:rsidDel="00000000" w:rsidP="00000000" w:rsidRDefault="00000000" w:rsidRPr="00000000" w14:paraId="0000015F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60">
      <w:pPr>
        <w:spacing w:line="276" w:lineRule="auto"/>
        <w:jc w:val="both"/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Що має належні повноваження на підписання Заявки від імені та за дорученням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                                                                                         </w:t>
        <w:tab/>
      </w:r>
    </w:p>
    <w:p w:rsidR="00000000" w:rsidDel="00000000" w:rsidP="00000000" w:rsidRDefault="00000000" w:rsidRPr="00000000" w14:paraId="00000161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62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40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SM8bLhB+xZcQJa3q2IwI8a3Kw==">CgMxLjAaHwoBMBIaChgICVIUChJ0YWJsZS5waTV2aWFiMXJnaTMaHwoBMRIaChgICVIUChJ0YWJsZS5zeGk5ZXY0eHJzdTIyDmguZjN3MHFmbmV2aXg1OABqJQoUc3VnZ2VzdC51OGp4bTd4Z3oxNHUSDUFubmEgS2FycGVua29yITFUMUNLRE9NY1ZhTnAtN2xuTnZMSExFcGoyZmMyeXJPaw==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